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83" w:rsidRPr="00867B83" w:rsidRDefault="00867B83" w:rsidP="00867B83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B83">
        <w:rPr>
          <w:rFonts w:ascii="Times New Roman" w:eastAsia="Times New Roman" w:hAnsi="Times New Roman" w:cs="Times New Roman"/>
          <w:noProof/>
          <w:color w:val="02599D"/>
          <w:sz w:val="24"/>
          <w:szCs w:val="24"/>
          <w:lang w:eastAsia="pt-BR"/>
        </w:rPr>
        <w:drawing>
          <wp:inline distT="0" distB="0" distL="0" distR="0">
            <wp:extent cx="951230" cy="951230"/>
            <wp:effectExtent l="0" t="0" r="1270" b="1270"/>
            <wp:docPr id="2" name="Imagem 2" descr="Richard Schlesinger's picture">
              <a:hlinkClick xmlns:a="http://schemas.openxmlformats.org/drawingml/2006/main" r:id="rId5" tooltip="&quot;View user profil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Schlesinger's picture">
                      <a:hlinkClick r:id="rId5" tooltip="&quot;View user profil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83" w:rsidRPr="00867B83" w:rsidRDefault="00867B83" w:rsidP="00867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hyperlink r:id="rId7" w:tooltip="Richard Schlesinger" w:history="1">
        <w:r w:rsidRPr="00867B83">
          <w:rPr>
            <w:rFonts w:ascii="Times New Roman" w:eastAsia="Times New Roman" w:hAnsi="Times New Roman" w:cs="Times New Roman"/>
            <w:b/>
            <w:bCs/>
            <w:color w:val="02599D"/>
            <w:sz w:val="27"/>
            <w:szCs w:val="27"/>
            <w:lang w:eastAsia="pt-BR"/>
          </w:rPr>
          <w:t xml:space="preserve">Richard </w:t>
        </w:r>
        <w:proofErr w:type="spellStart"/>
        <w:r w:rsidRPr="00867B83">
          <w:rPr>
            <w:rFonts w:ascii="Times New Roman" w:eastAsia="Times New Roman" w:hAnsi="Times New Roman" w:cs="Times New Roman"/>
            <w:b/>
            <w:bCs/>
            <w:color w:val="02599D"/>
            <w:sz w:val="27"/>
            <w:szCs w:val="27"/>
            <w:lang w:eastAsia="pt-BR"/>
          </w:rPr>
          <w:t>Schlesinger</w:t>
        </w:r>
        <w:proofErr w:type="spellEnd"/>
      </w:hyperlink>
    </w:p>
    <w:p w:rsidR="00867B83" w:rsidRPr="00867B83" w:rsidRDefault="00867B83" w:rsidP="00867B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7B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Principal, </w:t>
      </w:r>
      <w:proofErr w:type="spellStart"/>
      <w:r w:rsidRPr="00867B83">
        <w:rPr>
          <w:rFonts w:ascii="Times New Roman" w:eastAsia="Times New Roman" w:hAnsi="Times New Roman" w:cs="Times New Roman"/>
          <w:sz w:val="24"/>
          <w:szCs w:val="24"/>
          <w:lang w:eastAsia="pt-BR"/>
        </w:rPr>
        <w:t>Alpine</w:t>
      </w:r>
      <w:proofErr w:type="spellEnd"/>
      <w:r w:rsidRPr="00867B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Communications</w:t>
      </w:r>
    </w:p>
    <w:p w:rsidR="00867B83" w:rsidRPr="00867B83" w:rsidRDefault="00867B83" w:rsidP="00867B83">
      <w:pPr>
        <w:spacing w:after="300" w:line="312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pt-BR"/>
        </w:rPr>
      </w:pPr>
      <w:proofErr w:type="spellStart"/>
      <w:r w:rsidRPr="00867B83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pt-BR"/>
        </w:rPr>
        <w:t>Protecting</w:t>
      </w:r>
      <w:proofErr w:type="spellEnd"/>
      <w:r w:rsidRPr="00867B83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pt-BR"/>
        </w:rPr>
        <w:t xml:space="preserve"> The Grid</w:t>
      </w:r>
    </w:p>
    <w:p w:rsidR="00867B83" w:rsidRPr="00867B83" w:rsidRDefault="00867B83" w:rsidP="00867B83">
      <w:pPr>
        <w:spacing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pt-BR"/>
        </w:rPr>
      </w:pPr>
      <w:r w:rsidRPr="00867B83">
        <w:rPr>
          <w:rFonts w:ascii="Helvetica" w:eastAsia="Times New Roman" w:hAnsi="Helvetica" w:cs="Helvetica"/>
          <w:noProof/>
          <w:color w:val="4A4A4A"/>
          <w:sz w:val="21"/>
          <w:szCs w:val="21"/>
          <w:lang w:eastAsia="pt-BR"/>
        </w:rPr>
        <w:lastRenderedPageBreak/>
        <w:drawing>
          <wp:inline distT="0" distB="0" distL="0" distR="0">
            <wp:extent cx="5059680" cy="7620000"/>
            <wp:effectExtent l="0" t="0" r="7620" b="0"/>
            <wp:docPr id="1" name="Imagem 1" descr="https://www.energycentral.com/sites/default/files/styles/article_body/public/ece/nodes/216664/dreamstime_s_31888896.jpg?itok=y7JhD6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nergycentral.com/sites/default/files/styles/article_body/public/ece/nodes/216664/dreamstime_s_31888896.jpg?itok=y7JhD65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83" w:rsidRPr="00867B83" w:rsidRDefault="00867B83" w:rsidP="00867B83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proofErr w:type="spellStart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Posted</w:t>
      </w:r>
      <w:proofErr w:type="spellEnd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 xml:space="preserve"> </w:t>
      </w:r>
      <w:proofErr w:type="spellStart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on</w:t>
      </w:r>
      <w:proofErr w:type="spellEnd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 xml:space="preserve"> </w:t>
      </w:r>
      <w:proofErr w:type="spellStart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February</w:t>
      </w:r>
      <w:proofErr w:type="spellEnd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 xml:space="preserve"> 27, 2018</w:t>
      </w:r>
    </w:p>
    <w:p w:rsidR="00867B83" w:rsidRPr="00867B83" w:rsidRDefault="00867B83" w:rsidP="00867B83">
      <w:pPr>
        <w:spacing w:after="0" w:line="240" w:lineRule="atLeast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 </w:t>
      </w:r>
    </w:p>
    <w:p w:rsidR="00867B83" w:rsidRPr="00867B83" w:rsidRDefault="00867B83" w:rsidP="00867B83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 xml:space="preserve">376 </w:t>
      </w:r>
      <w:proofErr w:type="spellStart"/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views</w:t>
      </w:r>
      <w:proofErr w:type="spellEnd"/>
    </w:p>
    <w:p w:rsidR="00867B83" w:rsidRPr="00867B83" w:rsidRDefault="00867B83" w:rsidP="00867B83">
      <w:pPr>
        <w:spacing w:after="0" w:line="240" w:lineRule="atLeast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lastRenderedPageBreak/>
        <w:t> </w:t>
      </w:r>
    </w:p>
    <w:p w:rsidR="00867B83" w:rsidRPr="00867B83" w:rsidRDefault="00867B83" w:rsidP="00867B83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hyperlink r:id="rId9" w:anchor="comment-form" w:history="1">
        <w:r w:rsidRPr="00867B83">
          <w:rPr>
            <w:rFonts w:ascii="Helvetica" w:eastAsia="Times New Roman" w:hAnsi="Helvetica" w:cs="Helvetica"/>
            <w:color w:val="CCCCCC"/>
            <w:sz w:val="24"/>
            <w:szCs w:val="24"/>
            <w:u w:val="single"/>
            <w:lang w:eastAsia="pt-BR"/>
          </w:rPr>
          <w:t xml:space="preserve">start a </w:t>
        </w:r>
        <w:proofErr w:type="spellStart"/>
        <w:r w:rsidRPr="00867B83">
          <w:rPr>
            <w:rFonts w:ascii="Helvetica" w:eastAsia="Times New Roman" w:hAnsi="Helvetica" w:cs="Helvetica"/>
            <w:color w:val="CCCCCC"/>
            <w:sz w:val="24"/>
            <w:szCs w:val="24"/>
            <w:u w:val="single"/>
            <w:lang w:eastAsia="pt-BR"/>
          </w:rPr>
          <w:t>discussion</w:t>
        </w:r>
        <w:proofErr w:type="spellEnd"/>
      </w:hyperlink>
    </w:p>
    <w:p w:rsidR="00867B83" w:rsidRPr="00867B83" w:rsidRDefault="00867B83" w:rsidP="00867B83">
      <w:pPr>
        <w:spacing w:after="0" w:line="240" w:lineRule="atLeast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 </w:t>
      </w:r>
    </w:p>
    <w:p w:rsidR="00867B83" w:rsidRPr="00867B83" w:rsidRDefault="00867B83" w:rsidP="00867B83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hyperlink r:id="rId10" w:tooltip="report" w:history="1">
        <w:proofErr w:type="spellStart"/>
        <w:r w:rsidRPr="00867B83">
          <w:rPr>
            <w:rFonts w:ascii="Helvetica" w:eastAsia="Times New Roman" w:hAnsi="Helvetica" w:cs="Helvetica"/>
            <w:color w:val="CCCCCC"/>
            <w:sz w:val="24"/>
            <w:szCs w:val="24"/>
            <w:lang w:eastAsia="pt-BR"/>
          </w:rPr>
          <w:t>report</w:t>
        </w:r>
        <w:proofErr w:type="spellEnd"/>
      </w:hyperlink>
    </w:p>
    <w:p w:rsidR="00867B83" w:rsidRPr="00867B83" w:rsidRDefault="00867B83" w:rsidP="00867B83">
      <w:pPr>
        <w:spacing w:after="0" w:line="240" w:lineRule="atLeast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 </w:t>
      </w:r>
    </w:p>
    <w:p w:rsidR="00867B83" w:rsidRPr="00867B83" w:rsidRDefault="00867B83" w:rsidP="00867B83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jc w:val="center"/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</w:pPr>
      <w:r w:rsidRPr="00867B83">
        <w:rPr>
          <w:rFonts w:ascii="Helvetica" w:eastAsia="Times New Roman" w:hAnsi="Helvetica" w:cs="Helvetica"/>
          <w:color w:val="CCCCCC"/>
          <w:sz w:val="24"/>
          <w:szCs w:val="24"/>
          <w:lang w:eastAsia="pt-BR"/>
        </w:rPr>
        <w:t>follow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The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electric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arguably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biggest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machine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world,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greatest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engineering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feat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past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hundred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years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over 200,000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miles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high-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voltage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transmission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lines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more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55,000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substations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5.5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million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miles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local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cables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It’s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those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human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accomplishments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successful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become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virtually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invisible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today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hardly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Thomas Edison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envisioned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launched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first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Pearl Street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in 1882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lower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Manhattan;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vastly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larger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infinitely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more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complex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it’s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product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constant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evolution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structure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evolving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;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part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still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power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from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sources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end-users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within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certain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locale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increasingly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incorporating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local nodes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generation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incorporating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interruptible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renewable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sources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some local,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others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centrally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located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As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evolves,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too, do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threats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vulnerable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Because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vast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physical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structure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obvious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target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physical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attack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everyone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from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criminals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foreign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terrorists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say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nothing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vulnerability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natural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disasters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Because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widely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dispersed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often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unpopulated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isolated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places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physically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protecting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assets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prohibitively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expensive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logistically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extremely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difficult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Still,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comparing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industry’s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response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Hurricane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Matthew in 2017, versus its response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Hurricane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Sandy in 2012,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indicates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how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far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industry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come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preparing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inevitable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natural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disasters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example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: Florida Power &amp; Light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lastRenderedPageBreak/>
        <w:t>personnel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assisting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Consolidated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Edison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discovered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importance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flood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monitors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substations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FP&amp;L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used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technique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2017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Hurricane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Matthew hit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assess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de-energize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substations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helped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minimize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damage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speed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restoration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service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Another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crucial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lesson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importance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developing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framework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advance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disaster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coordinating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efforts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local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authorities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expedite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movement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crews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equipment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both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“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pass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”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states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immediate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vicinity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storm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damage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natural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disasters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say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nothing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squirrels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will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always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pose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threat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integrity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serious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threat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today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probably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vulnerability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cyberattack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became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frighteningly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obvious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December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2015,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control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operators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Ukraine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watched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their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cursors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moved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independently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across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their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screens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took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about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30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substations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offline.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quarter-million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people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power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;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operators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suddenly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left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dark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gram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as hackers</w:t>
      </w:r>
      <w:proofErr w:type="gram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shut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down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their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uninterruptible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power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supplies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carefully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planned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attack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after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months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study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hackers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infrastructure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operators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’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credentials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Whether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culprit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Russia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as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Ukraine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alleged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another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party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well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planned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well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funded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probably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involved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number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different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units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The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stability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especially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age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renewable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generation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depends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increasingly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interconnectivity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interconnectivity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achieved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vast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network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computer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devices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controls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proliferation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internet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connected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nodes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creates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endless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opportunities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penetrate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heart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have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significant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efforts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protect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center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security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standards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generating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major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centers,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periphery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received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much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less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attention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periphery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infinite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because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includes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lastRenderedPageBreak/>
        <w:t>virtually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point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“internet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things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”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connects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distribution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system.  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smart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meter,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internet-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connected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television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refrigerator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thermostat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each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Siri-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Alexa-enabled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device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becomes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possible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entry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point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sinister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forces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penetrate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from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periphery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center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grid. 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other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words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weak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layer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protection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between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critical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infrastructure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providers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their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own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customers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 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Furthermore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often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weak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layer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protection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within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facilities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themselves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Control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central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facilities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used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manual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electrical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equipment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individuals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watching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meters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charged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physically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throwing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right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switches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respond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fluctuations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supply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demand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electricity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functions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literally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hands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highly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trained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experienced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workers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are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increasingly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performed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devices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IP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addresses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even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automatically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computers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driven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sophisticated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algorithms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Without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serious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barriers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between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networks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components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those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networks,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there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almost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infinite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opportunities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penetrate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malicious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proofErr w:type="gram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intent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from</w:t>
      </w:r>
      <w:proofErr w:type="spellEnd"/>
      <w:proofErr w:type="gram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perimeter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center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system,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with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possibly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catastrophic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results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</w:t>
      </w:r>
    </w:p>
    <w:p w:rsidR="00867B83" w:rsidRPr="00867B83" w:rsidRDefault="00867B83" w:rsidP="00867B83">
      <w:pPr>
        <w:spacing w:before="100" w:beforeAutospacing="1" w:after="0" w:line="432" w:lineRule="atLeast"/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</w:pP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Concern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about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vulnerability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cyberattack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not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new.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Former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CIA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Director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James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Woolsey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warning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about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for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years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DARPA,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Defense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Advanced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Research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Projects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Agency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been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working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how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thwart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cyber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attack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although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Woolsey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others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have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also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warned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vulnerable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atmospheric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nuclear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explosion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would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cause a high-magnitude, short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duration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pulse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would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cripple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these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DARPA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studies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won’t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complete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until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2020,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focus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massive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centrally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planned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attacks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The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threat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attackers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entering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widely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dispersed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internet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things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far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more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difficult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to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address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number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government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agencies, </w:t>
      </w:r>
      <w:proofErr w:type="spellStart"/>
      <w:proofErr w:type="gram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including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proofErr w:type="gram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Energy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Department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Homeland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Security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Department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FERC, are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addressing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lastRenderedPageBreak/>
        <w:t>broad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issue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cybersecurity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through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least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27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separate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programs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will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take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more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just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government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rules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regulation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Protecting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grid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has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become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crucial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issue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requires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broad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cooperation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among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federal,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state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local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governments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many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individual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private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and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public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entities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of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which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it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composed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. 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It’s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a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daunting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task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,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but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one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that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we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ignore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at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our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very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 xml:space="preserve"> real </w:t>
      </w:r>
      <w:proofErr w:type="spellStart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peril</w:t>
      </w:r>
      <w:proofErr w:type="spellEnd"/>
      <w:r w:rsidRPr="00867B83">
        <w:rPr>
          <w:rFonts w:ascii="Open Sans" w:eastAsia="Times New Roman" w:hAnsi="Open Sans" w:cs="Helvetica"/>
          <w:color w:val="4A4A4A"/>
          <w:sz w:val="27"/>
          <w:szCs w:val="27"/>
          <w:lang w:eastAsia="pt-BR"/>
        </w:rPr>
        <w:t>.</w:t>
      </w:r>
    </w:p>
    <w:p w:rsidR="00092748" w:rsidRDefault="00092748">
      <w:bookmarkStart w:id="0" w:name="_GoBack"/>
      <w:bookmarkEnd w:id="0"/>
    </w:p>
    <w:sectPr w:rsidR="00092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6DFB"/>
    <w:multiLevelType w:val="multilevel"/>
    <w:tmpl w:val="E7B4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83"/>
    <w:rsid w:val="00092748"/>
    <w:rsid w:val="008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01C7-F3A5-47BC-92ED-65DAE6C9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7B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67B83"/>
    <w:rPr>
      <w:color w:val="0000FF"/>
      <w:u w:val="single"/>
    </w:rPr>
  </w:style>
  <w:style w:type="character" w:customStyle="1" w:styleId="profile-realname">
    <w:name w:val="profile-realname"/>
    <w:basedOn w:val="Fontepargpadro"/>
    <w:rsid w:val="00867B83"/>
  </w:style>
  <w:style w:type="character" w:customStyle="1" w:styleId="realname">
    <w:name w:val="realname"/>
    <w:basedOn w:val="Fontepargpadro"/>
    <w:rsid w:val="00867B83"/>
  </w:style>
  <w:style w:type="paragraph" w:customStyle="1" w:styleId="credentials">
    <w:name w:val="credentials"/>
    <w:basedOn w:val="Normal"/>
    <w:rsid w:val="008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file-credentials">
    <w:name w:val="profile-credentials"/>
    <w:basedOn w:val="Fontepargpadro"/>
    <w:rsid w:val="00867B83"/>
  </w:style>
  <w:style w:type="character" w:customStyle="1" w:styleId="article-verbdate">
    <w:name w:val="article-verb_date"/>
    <w:basedOn w:val="Fontepargpadro"/>
    <w:rsid w:val="00867B83"/>
  </w:style>
  <w:style w:type="character" w:customStyle="1" w:styleId="article-pageviews">
    <w:name w:val="article-page_views"/>
    <w:basedOn w:val="Fontepargpadro"/>
    <w:rsid w:val="00867B83"/>
  </w:style>
  <w:style w:type="character" w:customStyle="1" w:styleId="widget-comment">
    <w:name w:val="widget-comment"/>
    <w:basedOn w:val="Fontepargpadro"/>
    <w:rsid w:val="00867B83"/>
  </w:style>
  <w:style w:type="character" w:customStyle="1" w:styleId="ece-flagging-widget">
    <w:name w:val="ece-flagging-widget"/>
    <w:basedOn w:val="Fontepargpadro"/>
    <w:rsid w:val="00867B83"/>
  </w:style>
  <w:style w:type="character" w:customStyle="1" w:styleId="action-label">
    <w:name w:val="action-label"/>
    <w:basedOn w:val="Fontepargpadro"/>
    <w:rsid w:val="00867B83"/>
  </w:style>
  <w:style w:type="character" w:customStyle="1" w:styleId="follow-label">
    <w:name w:val="follow-label"/>
    <w:basedOn w:val="Fontepargpadro"/>
    <w:rsid w:val="00867B83"/>
  </w:style>
  <w:style w:type="paragraph" w:styleId="NormalWeb">
    <w:name w:val="Normal (Web)"/>
    <w:basedOn w:val="Normal"/>
    <w:uiPriority w:val="99"/>
    <w:semiHidden/>
    <w:unhideWhenUsed/>
    <w:rsid w:val="008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094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2946">
          <w:marLeft w:val="0"/>
          <w:marRight w:val="0"/>
          <w:marTop w:val="0"/>
          <w:marBottom w:val="300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565188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nergycentral.com/member/profile/557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nergycentral.com/member/profile/55798" TargetMode="External"/><Relationship Id="rId10" Type="http://schemas.openxmlformats.org/officeDocument/2006/relationships/hyperlink" Target="https://www.energycentral.com/user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ycentral.com/c/iu/protecting-gri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E-mail Security Team</dc:creator>
  <cp:keywords/>
  <dc:description/>
  <cp:lastModifiedBy>E-mail Security Team</cp:lastModifiedBy>
  <cp:revision>1</cp:revision>
  <dcterms:created xsi:type="dcterms:W3CDTF">2018-03-11T02:28:00Z</dcterms:created>
  <dcterms:modified xsi:type="dcterms:W3CDTF">2018-03-11T02:29:00Z</dcterms:modified>
</cp:coreProperties>
</file>